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250F44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250F44">
              <w:rPr>
                <w:b/>
                <w:sz w:val="22"/>
                <w:szCs w:val="22"/>
              </w:rPr>
              <w:t>02.04</w:t>
            </w:r>
            <w:r w:rsidR="004E6492" w:rsidRPr="00FF5C07">
              <w:rPr>
                <w:b/>
                <w:sz w:val="22"/>
                <w:szCs w:val="22"/>
              </w:rPr>
              <w:t>.20</w:t>
            </w:r>
            <w:r w:rsidR="00984D7E">
              <w:rPr>
                <w:b/>
                <w:sz w:val="22"/>
                <w:szCs w:val="22"/>
              </w:rPr>
              <w:t>25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250F4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</w:t>
            </w:r>
            <w:r w:rsidR="00250F44">
              <w:rPr>
                <w:bCs/>
                <w:sz w:val="22"/>
                <w:szCs w:val="22"/>
              </w:rPr>
              <w:t xml:space="preserve">квартал </w:t>
            </w:r>
            <w:r w:rsidR="0069078A" w:rsidRPr="00F06F67">
              <w:rPr>
                <w:bCs/>
                <w:sz w:val="22"/>
                <w:szCs w:val="22"/>
              </w:rPr>
              <w:t>50:33:</w:t>
            </w:r>
            <w:r w:rsidR="00250F44">
              <w:rPr>
                <w:bCs/>
                <w:sz w:val="22"/>
                <w:szCs w:val="22"/>
              </w:rPr>
              <w:t>0030485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Обоснование необходимости установления публичного сервитута: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Реконструкция объекта необходима </w:t>
            </w:r>
            <w:proofErr w:type="gramStart"/>
            <w:r w:rsidRPr="00250F44">
              <w:rPr>
                <w:sz w:val="22"/>
                <w:szCs w:val="22"/>
              </w:rPr>
              <w:t>для</w:t>
            </w:r>
            <w:proofErr w:type="gramEnd"/>
            <w:r w:rsidRPr="00250F44">
              <w:rPr>
                <w:sz w:val="22"/>
                <w:szCs w:val="22"/>
              </w:rPr>
              <w:t>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250F44">
              <w:rPr>
                <w:sz w:val="22"/>
                <w:szCs w:val="22"/>
              </w:rPr>
              <w:t>участков</w:t>
            </w:r>
            <w:proofErr w:type="gramEnd"/>
            <w:r w:rsidRPr="00250F44">
              <w:rPr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 xml:space="preserve"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</w:t>
            </w:r>
            <w:r w:rsidRPr="00250F44">
              <w:rPr>
                <w:sz w:val="22"/>
                <w:szCs w:val="22"/>
              </w:rPr>
              <w:lastRenderedPageBreak/>
              <w:t>сохранении и рациональном использовании плодородного слоя почвы»;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технологический коридор инженерных коммуникаций;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- </w:t>
            </w:r>
            <w:proofErr w:type="gramStart"/>
            <w:r w:rsidRPr="00250F44">
              <w:rPr>
                <w:sz w:val="22"/>
                <w:szCs w:val="22"/>
              </w:rPr>
              <w:t>технический</w:t>
            </w:r>
            <w:proofErr w:type="gramEnd"/>
            <w:r w:rsidRPr="00250F44">
              <w:rPr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- границы </w:t>
            </w:r>
            <w:proofErr w:type="spellStart"/>
            <w:r w:rsidRPr="00250F44">
              <w:rPr>
                <w:sz w:val="22"/>
                <w:szCs w:val="22"/>
              </w:rPr>
              <w:t>водоохранных</w:t>
            </w:r>
            <w:proofErr w:type="spellEnd"/>
            <w:r w:rsidRPr="00250F44">
              <w:rPr>
                <w:sz w:val="22"/>
                <w:szCs w:val="22"/>
              </w:rPr>
              <w:t xml:space="preserve"> и прибрежных зон водных объектов;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- категория </w:t>
            </w:r>
            <w:proofErr w:type="spellStart"/>
            <w:r w:rsidRPr="00250F44">
              <w:rPr>
                <w:sz w:val="22"/>
                <w:szCs w:val="22"/>
              </w:rPr>
              <w:t>защитности</w:t>
            </w:r>
            <w:proofErr w:type="spellEnd"/>
            <w:r w:rsidRPr="00250F44">
              <w:rPr>
                <w:sz w:val="22"/>
                <w:szCs w:val="22"/>
              </w:rPr>
              <w:t xml:space="preserve"> использования лесов;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1.</w:t>
            </w:r>
            <w:r w:rsidRPr="00250F44">
              <w:rPr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250F44">
              <w:rPr>
                <w:sz w:val="22"/>
                <w:szCs w:val="22"/>
              </w:rPr>
              <w:t>Вдольтрассовый</w:t>
            </w:r>
            <w:proofErr w:type="spellEnd"/>
            <w:r w:rsidRPr="00250F44">
              <w:rPr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250F44">
              <w:rPr>
                <w:sz w:val="22"/>
                <w:szCs w:val="22"/>
              </w:rPr>
              <w:t>2</w:t>
            </w:r>
            <w:proofErr w:type="gramEnd"/>
            <w:r w:rsidRPr="00250F44">
              <w:rPr>
                <w:sz w:val="22"/>
                <w:szCs w:val="22"/>
              </w:rPr>
              <w:t>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250F44">
              <w:rPr>
                <w:sz w:val="22"/>
                <w:szCs w:val="22"/>
              </w:rPr>
              <w:t>образом</w:t>
            </w:r>
            <w:proofErr w:type="gramEnd"/>
            <w:r w:rsidRPr="00250F44">
              <w:rPr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250F44">
              <w:rPr>
                <w:sz w:val="22"/>
                <w:szCs w:val="22"/>
              </w:rPr>
              <w:t>согласно норм</w:t>
            </w:r>
            <w:proofErr w:type="gramEnd"/>
            <w:r w:rsidRPr="00250F44">
              <w:rPr>
                <w:sz w:val="22"/>
                <w:szCs w:val="22"/>
              </w:rPr>
              <w:t xml:space="preserve"> ВСН14278-тм.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2.</w:t>
            </w:r>
            <w:r w:rsidRPr="00250F44">
              <w:rPr>
                <w:sz w:val="22"/>
                <w:szCs w:val="22"/>
              </w:rPr>
              <w:tab/>
              <w:t>Площадки размещения Блок-бокс: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250F44">
              <w:rPr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250F44">
              <w:rPr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250F44">
              <w:rPr>
                <w:sz w:val="22"/>
                <w:szCs w:val="22"/>
              </w:rPr>
              <w:t>для</w:t>
            </w:r>
            <w:proofErr w:type="gramEnd"/>
            <w:r w:rsidRPr="00250F44">
              <w:rPr>
                <w:sz w:val="22"/>
                <w:szCs w:val="22"/>
              </w:rPr>
              <w:t>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lastRenderedPageBreak/>
              <w:t>−</w:t>
            </w:r>
            <w:r w:rsidRPr="00250F44">
              <w:rPr>
                <w:sz w:val="22"/>
                <w:szCs w:val="22"/>
              </w:rPr>
              <w:tab/>
              <w:t>устройства площадок монтажа;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−</w:t>
            </w:r>
            <w:r w:rsidRPr="00250F44">
              <w:rPr>
                <w:sz w:val="22"/>
                <w:szCs w:val="22"/>
              </w:rPr>
              <w:tab/>
              <w:t>размещения инвентарных вагончиков.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3.</w:t>
            </w:r>
            <w:r w:rsidRPr="00250F44">
              <w:rPr>
                <w:sz w:val="22"/>
                <w:szCs w:val="22"/>
              </w:rPr>
              <w:tab/>
              <w:t>Технологическая связь и кабели электроснабжения: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250F44">
              <w:rPr>
                <w:sz w:val="22"/>
                <w:szCs w:val="22"/>
              </w:rPr>
              <w:t>Вдольтрассовый</w:t>
            </w:r>
            <w:proofErr w:type="spellEnd"/>
            <w:r w:rsidRPr="00250F44">
              <w:rPr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250F44">
              <w:rPr>
                <w:sz w:val="22"/>
                <w:szCs w:val="22"/>
              </w:rPr>
              <w:t>д</w:t>
            </w:r>
            <w:proofErr w:type="spellEnd"/>
            <w:r w:rsidRPr="00250F44">
              <w:rPr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Испрашиваемая ПАО «Газпром» площадь границ публичного сервитута составляет 51 кв. м.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250F44">
              <w:rPr>
                <w:sz w:val="22"/>
                <w:szCs w:val="22"/>
              </w:rPr>
              <w:t>трансгаз</w:t>
            </w:r>
            <w:proofErr w:type="spellEnd"/>
            <w:r w:rsidRPr="00250F44">
              <w:rPr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250F44" w:rsidRPr="00250F44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Свидетельство о государственной регистрации права собственности от 17.10.2006 №НА №1196230 газопровод отвод на ГРС «Кашира» и ГРС «Кашира».</w:t>
            </w:r>
          </w:p>
          <w:p w:rsidR="00DE3BFF" w:rsidRPr="00167110" w:rsidRDefault="00250F44" w:rsidP="00250F44">
            <w:pPr>
              <w:pStyle w:val="Default"/>
              <w:jc w:val="both"/>
              <w:rPr>
                <w:sz w:val="22"/>
                <w:szCs w:val="22"/>
              </w:rPr>
            </w:pPr>
            <w:r w:rsidRPr="00250F44">
              <w:rPr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</w:t>
            </w: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50F44" w:rsidP="00984D7E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0030485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613E0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</w:t>
            </w:r>
            <w:r w:rsidR="00250F44">
              <w:rPr>
                <w:sz w:val="22"/>
                <w:szCs w:val="22"/>
              </w:rPr>
              <w:t>)64-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9E754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50F44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0F44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3E0F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84D7E"/>
    <w:rsid w:val="009A63DE"/>
    <w:rsid w:val="009A6A73"/>
    <w:rsid w:val="009B28C4"/>
    <w:rsid w:val="009B6F30"/>
    <w:rsid w:val="009C1260"/>
    <w:rsid w:val="009D23A9"/>
    <w:rsid w:val="009E5D23"/>
    <w:rsid w:val="009E7548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7533A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48</cp:revision>
  <cp:lastPrinted>2020-02-10T13:58:00Z</cp:lastPrinted>
  <dcterms:created xsi:type="dcterms:W3CDTF">2022-02-28T14:18:00Z</dcterms:created>
  <dcterms:modified xsi:type="dcterms:W3CDTF">2025-04-08T07:34:00Z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